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spacing w:line="360" w:lineRule="auto"/>
        <w:jc w:val="both"/>
        <w:rPr>
          <w:rFonts w:hint="eastAsia" w:ascii="黑体" w:hAnsi="黑体" w:eastAsia="黑体" w:cs="宋体"/>
          <w:color w:val="00000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宋体"/>
          <w:color w:val="000000"/>
          <w:sz w:val="32"/>
          <w:szCs w:val="32"/>
        </w:rPr>
        <w:t>附件2：</w:t>
      </w:r>
    </w:p>
    <w:p>
      <w:pPr>
        <w:topLinePunct/>
        <w:autoSpaceDE w:val="0"/>
        <w:autoSpaceDN w:val="0"/>
        <w:spacing w:line="360" w:lineRule="auto"/>
        <w:jc w:val="both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pPr>
        <w:topLinePunct/>
        <w:autoSpaceDE w:val="0"/>
        <w:autoSpaceDN w:val="0"/>
        <w:spacing w:line="360" w:lineRule="auto"/>
        <w:jc w:val="center"/>
        <w:rPr>
          <w:rFonts w:ascii="黑体" w:hAnsi="黑体" w:eastAsia="黑体" w:cs="宋体"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36"/>
          <w:szCs w:val="36"/>
        </w:rPr>
        <w:t>关于《中华人民共和国印花税法</w:t>
      </w:r>
    </w:p>
    <w:p>
      <w:pPr>
        <w:topLinePunct/>
        <w:autoSpaceDE w:val="0"/>
        <w:autoSpaceDN w:val="0"/>
        <w:spacing w:line="360" w:lineRule="auto"/>
        <w:jc w:val="center"/>
        <w:rPr>
          <w:rFonts w:ascii="黑体" w:hAnsi="黑体" w:eastAsia="黑体" w:cs="宋体"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36"/>
          <w:szCs w:val="36"/>
        </w:rPr>
        <w:t>（征求意见稿）》的</w:t>
      </w:r>
      <w:bookmarkEnd w:id="0"/>
      <w:r>
        <w:rPr>
          <w:rFonts w:hint="eastAsia" w:ascii="黑体" w:hAnsi="黑体" w:eastAsia="黑体" w:cs="宋体"/>
          <w:color w:val="000000"/>
          <w:sz w:val="36"/>
          <w:szCs w:val="36"/>
        </w:rPr>
        <w:t>说明</w:t>
      </w:r>
    </w:p>
    <w:p>
      <w:pPr>
        <w:spacing w:line="360" w:lineRule="auto"/>
        <w:ind w:firstLine="675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ind w:firstLine="67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为落实税收法定原则，按照党中央、国务院决策部署，财政部、税务总局会同有关部门起草了《中华人民共和国印花税法（征求意见稿）》（以下简称《征求意见稿》）。现说明如下：</w:t>
      </w:r>
    </w:p>
    <w:p>
      <w:pPr>
        <w:spacing w:line="360" w:lineRule="auto"/>
        <w:ind w:firstLine="67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一、制定本法的必要性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1988年8月，国务院公布《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印花税暂行条例》（以下简称《暂行条例》），规定自1988年10月1日起，对书立、领受合同、产权转移书据等应税凭证的单位和个人征收印花税。根据应税凭证的性质，印花税分别按比例税率或者按件定额计征。1992年，国家统一规定对沪深两市证券交易征收印花税，经过多次政策调整，目前证券交易印花税按1‰的税率对出让方征收。1988年至2017年，</w:t>
      </w:r>
      <w:r>
        <w:rPr>
          <w:rFonts w:hint="eastAsia" w:ascii="仿宋_GB2312" w:hAnsi="宋体" w:eastAsia="仿宋_GB2312"/>
          <w:sz w:val="32"/>
          <w:szCs w:val="32"/>
        </w:rPr>
        <w:t>全国累计征收</w:t>
      </w:r>
      <w:r>
        <w:rPr>
          <w:rFonts w:hint="eastAsia" w:ascii="仿宋_GB2312" w:eastAsia="仿宋_GB2312"/>
          <w:sz w:val="32"/>
          <w:szCs w:val="32"/>
        </w:rPr>
        <w:t>印花税21450亿元，年均增长19.1%，其中2017年征收印花税2206亿元。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《中共中央关于全面深化改革若干重大问题的决定》提出“</w:t>
      </w:r>
      <w:r>
        <w:rPr>
          <w:rFonts w:hint="eastAsia" w:ascii="仿宋_GB2312" w:hAnsi="宋体" w:eastAsia="仿宋_GB2312"/>
          <w:sz w:val="32"/>
          <w:szCs w:val="32"/>
        </w:rPr>
        <w:t>落实税收法定原则</w:t>
      </w:r>
      <w:r>
        <w:rPr>
          <w:rFonts w:hint="eastAsia" w:ascii="仿宋_GB2312" w:hAnsi="宋体" w:eastAsia="仿宋_GB2312" w:cs="仿宋_GB2312"/>
          <w:sz w:val="32"/>
          <w:szCs w:val="32"/>
        </w:rPr>
        <w:t>”，制定</w:t>
      </w:r>
      <w:r>
        <w:rPr>
          <w:rFonts w:hint="eastAsia" w:ascii="仿宋_GB2312" w:eastAsia="仿宋_GB2312"/>
          <w:sz w:val="32"/>
          <w:szCs w:val="32"/>
        </w:rPr>
        <w:t>印花税法是重要任务之一，已列入</w:t>
      </w:r>
      <w:r>
        <w:rPr>
          <w:rFonts w:hint="eastAsia" w:ascii="仿宋_GB2312" w:hAnsi="宋体" w:eastAsia="仿宋_GB2312"/>
          <w:sz w:val="32"/>
          <w:szCs w:val="32"/>
        </w:rPr>
        <w:t>全国人大常委会和国务院立法工作计划。</w:t>
      </w:r>
      <w:r>
        <w:rPr>
          <w:rFonts w:hint="eastAsia" w:ascii="仿宋_GB2312" w:eastAsia="仿宋_GB2312"/>
          <w:sz w:val="32"/>
          <w:szCs w:val="32"/>
        </w:rPr>
        <w:t>制定印花税法，有利于完善印花税法律制度，增强其科学性、稳定性和权威性，有利于构建适应社会主义市场经济需要的现代财税制度，有利于深化改革开放和推进国家治理体系和治理能力现代化。</w:t>
      </w:r>
    </w:p>
    <w:p>
      <w:pPr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二、制定本法的总体考虑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从实际情况看，印花税税制要素基本合理，运行比较平稳，可基本保持现行税制框架和税负水平总体不变，将《暂行条例》上升为法律。同时，</w:t>
      </w: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情况发展变化和税收征管实际，对部分税目、税率和</w:t>
      </w:r>
      <w:r>
        <w:rPr>
          <w:rFonts w:hint="eastAsia" w:ascii="仿宋_GB2312" w:hAnsi="宋体" w:eastAsia="仿宋_GB2312"/>
          <w:sz w:val="32"/>
          <w:szCs w:val="32"/>
        </w:rPr>
        <w:t>纳税方式</w:t>
      </w:r>
      <w:r>
        <w:rPr>
          <w:rFonts w:hint="eastAsia" w:ascii="仿宋_GB2312" w:eastAsia="仿宋_GB2312"/>
          <w:sz w:val="32"/>
          <w:szCs w:val="32"/>
        </w:rPr>
        <w:t>等作相应调整。</w:t>
      </w:r>
    </w:p>
    <w:p>
      <w:pPr>
        <w:spacing w:line="360" w:lineRule="auto"/>
        <w:ind w:firstLine="67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三、《征求意见稿》的主要内容</w:t>
      </w:r>
    </w:p>
    <w:p>
      <w:pPr>
        <w:spacing w:line="360" w:lineRule="auto"/>
        <w:ind w:firstLine="643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（一）关于纳税人。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与《暂行条例》及相关规定保持一致，《征求意见稿》规定：</w:t>
      </w:r>
      <w:r>
        <w:rPr>
          <w:rFonts w:hint="eastAsia" w:ascii="仿宋_GB2312" w:hAnsi="宋体" w:eastAsia="仿宋_GB2312" w:cs="宋体"/>
          <w:sz w:val="32"/>
          <w:szCs w:val="32"/>
        </w:rPr>
        <w:t>订立、领受在中华人民共和国境内具有法律效力的应税凭证，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或者在中华人民共和国境内进行证券交易的单位和个人</w:t>
      </w:r>
      <w:r>
        <w:rPr>
          <w:rFonts w:hint="eastAsia" w:ascii="仿宋_GB2312" w:hAnsi="宋体" w:eastAsia="仿宋_GB2312" w:cs="宋体"/>
          <w:sz w:val="32"/>
          <w:szCs w:val="32"/>
        </w:rPr>
        <w:t>，为印花税的纳税人</w:t>
      </w:r>
      <w:r>
        <w:rPr>
          <w:rFonts w:hint="eastAsia" w:ascii="仿宋_GB2312" w:hAnsi="宋体" w:eastAsia="仿宋_GB2312"/>
          <w:sz w:val="32"/>
          <w:szCs w:val="32"/>
        </w:rPr>
        <w:t>（第一条）。</w:t>
      </w:r>
    </w:p>
    <w:p>
      <w:pPr>
        <w:spacing w:line="360" w:lineRule="auto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（二）关于征税对象。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与《暂行条例》及相关规定保持一致，《征求意见稿》</w:t>
      </w:r>
      <w:r>
        <w:rPr>
          <w:rFonts w:hint="eastAsia" w:ascii="仿宋_GB2312" w:eastAsia="仿宋_GB2312"/>
          <w:sz w:val="32"/>
          <w:szCs w:val="32"/>
        </w:rPr>
        <w:t>规定，</w:t>
      </w:r>
      <w:r>
        <w:rPr>
          <w:rFonts w:hint="eastAsia" w:ascii="仿宋_GB2312" w:hAnsi="宋体" w:eastAsia="仿宋_GB2312"/>
          <w:sz w:val="32"/>
          <w:szCs w:val="32"/>
        </w:rPr>
        <w:t>印花税的征税对象为书面形式的合同、产权转移书据、营业账簿和权利、许可证照，以及上市</w:t>
      </w:r>
      <w:r>
        <w:rPr>
          <w:rFonts w:hint="eastAsia" w:ascii="仿宋_GB2312" w:hAnsi="宋体" w:eastAsia="仿宋_GB2312" w:cs="宋体"/>
          <w:sz w:val="32"/>
          <w:szCs w:val="32"/>
        </w:rPr>
        <w:t>交易</w:t>
      </w:r>
      <w:r>
        <w:rPr>
          <w:rFonts w:hint="eastAsia" w:ascii="仿宋_GB2312" w:hAnsi="宋体" w:eastAsia="仿宋_GB2312"/>
          <w:sz w:val="32"/>
          <w:szCs w:val="32"/>
        </w:rPr>
        <w:t>或者挂牌转让的</w:t>
      </w:r>
      <w:r>
        <w:rPr>
          <w:rFonts w:hint="eastAsia" w:ascii="仿宋_GB2312" w:eastAsia="仿宋_GB2312" w:cs="宋体"/>
          <w:sz w:val="32"/>
          <w:szCs w:val="32"/>
        </w:rPr>
        <w:t>公司股票和以股票为基础发行的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存托凭证</w:t>
      </w:r>
      <w:r>
        <w:rPr>
          <w:rFonts w:hint="eastAsia" w:ascii="仿宋_GB2312" w:hAnsi="宋体" w:eastAsia="仿宋_GB2312"/>
          <w:sz w:val="32"/>
          <w:szCs w:val="32"/>
        </w:rPr>
        <w:t>（第二条、第三条），具体税目、税率</w:t>
      </w:r>
      <w:r>
        <w:rPr>
          <w:rFonts w:hint="eastAsia" w:ascii="仿宋_GB2312" w:hAnsi="宋体" w:eastAsia="仿宋_GB2312" w:cs="宋体"/>
          <w:sz w:val="32"/>
          <w:szCs w:val="32"/>
        </w:rPr>
        <w:t>依照本法所附《印花税税目税率表》执行（第四条）。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《征求意见稿》将</w:t>
      </w:r>
      <w:r>
        <w:rPr>
          <w:rFonts w:hint="eastAsia" w:ascii="仿宋_GB2312" w:eastAsia="仿宋_GB2312" w:cs="宋体"/>
          <w:sz w:val="32"/>
          <w:szCs w:val="32"/>
        </w:rPr>
        <w:t>以股票为基础发行的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存托凭证</w:t>
      </w:r>
      <w:r>
        <w:rPr>
          <w:rFonts w:hint="eastAsia" w:ascii="仿宋_GB2312" w:hAnsi="宋体" w:eastAsia="仿宋_GB2312"/>
          <w:sz w:val="32"/>
          <w:szCs w:val="32"/>
        </w:rPr>
        <w:t>纳入</w:t>
      </w:r>
      <w:r>
        <w:rPr>
          <w:rFonts w:hint="eastAsia" w:ascii="仿宋_GB2312" w:hAnsi="宋体" w:eastAsia="仿宋_GB2312" w:cs="宋体"/>
          <w:sz w:val="32"/>
          <w:szCs w:val="32"/>
        </w:rPr>
        <w:t>证券交易印花税的征收范围</w:t>
      </w:r>
      <w:r>
        <w:rPr>
          <w:rFonts w:hint="eastAsia" w:ascii="仿宋_GB2312" w:hAnsi="宋体" w:eastAsia="仿宋_GB2312"/>
          <w:sz w:val="32"/>
          <w:szCs w:val="32"/>
        </w:rPr>
        <w:t>。主要考虑是：国务院已明确开展创新企业境内发行存托凭证试点，存托凭证以境外股票为基础在中国境内发行，并在境内证券交易所上市交易，将</w:t>
      </w:r>
      <w:r>
        <w:rPr>
          <w:rFonts w:hint="eastAsia" w:ascii="仿宋_GB2312" w:hAnsi="宋体" w:eastAsia="仿宋_GB2312" w:cs="宋体"/>
          <w:sz w:val="32"/>
          <w:szCs w:val="32"/>
        </w:rPr>
        <w:t>其纳入</w:t>
      </w:r>
      <w:r>
        <w:rPr>
          <w:rFonts w:hint="eastAsia" w:ascii="仿宋_GB2312" w:hAnsi="宋体" w:eastAsia="仿宋_GB2312"/>
          <w:sz w:val="32"/>
          <w:szCs w:val="32"/>
        </w:rPr>
        <w:t>印花税征收范围，适用与股票相同的政策，有利于保持税制统一和税负公平。</w:t>
      </w:r>
    </w:p>
    <w:p>
      <w:pPr>
        <w:spacing w:line="360" w:lineRule="auto"/>
        <w:ind w:firstLine="643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（三）关于税率。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《征求意见稿》除对少部分税目的税率适当调整外，基本维持了现行税率水平。</w:t>
      </w:r>
      <w:r>
        <w:rPr>
          <w:rFonts w:hint="eastAsia" w:ascii="仿宋_GB2312" w:eastAsia="仿宋_GB2312"/>
          <w:sz w:val="32"/>
          <w:szCs w:val="32"/>
        </w:rPr>
        <w:t>根据应税凭证的性质，分别实行比例税率或者定额税率。其中：应税合同按不同类型，税率分别为合同列明价款或者报酬的万分之三、万分之零点五和千分之一；应税产权转移书据税率为支付价款的万分之五；应税权利、许可证照税率为每件五元；应税营业账簿税率为实收资本（股本）、资本公积合计金额的</w:t>
      </w:r>
      <w:r>
        <w:rPr>
          <w:rFonts w:hint="eastAsia" w:ascii="仿宋_GB2312" w:hAnsi="宋体" w:eastAsia="仿宋_GB2312" w:cs="宋体"/>
          <w:sz w:val="32"/>
          <w:szCs w:val="32"/>
        </w:rPr>
        <w:t>万分之二点五</w:t>
      </w:r>
      <w:r>
        <w:rPr>
          <w:rFonts w:hint="eastAsia" w:ascii="仿宋_GB2312" w:eastAsia="仿宋_GB2312"/>
          <w:sz w:val="32"/>
          <w:szCs w:val="32"/>
        </w:rPr>
        <w:t>；证券交易税率为成交金额的千分之一。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hint="eastAsia" w:ascii="仿宋_GB2312" w:hAnsi="楷体" w:eastAsia="仿宋_GB2312"/>
          <w:bCs/>
          <w:sz w:val="32"/>
          <w:szCs w:val="32"/>
        </w:rPr>
        <w:t>《暂行条例》相比，《征求意见稿》作出调整的税率包括：</w:t>
      </w:r>
      <w:r>
        <w:rPr>
          <w:rFonts w:hint="eastAsia" w:ascii="仿宋_GB2312" w:hAnsi="楷体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sz w:val="32"/>
          <w:szCs w:val="32"/>
        </w:rPr>
        <w:t>简并税率、公平税负，减少因合同类型界定不清在适用税率上</w:t>
      </w:r>
      <w:r>
        <w:rPr>
          <w:rFonts w:hint="eastAsia" w:ascii="仿宋_GB2312" w:eastAsia="仿宋_GB2312"/>
          <w:sz w:val="32"/>
          <w:szCs w:val="32"/>
        </w:rPr>
        <w:t>引发的争议，</w:t>
      </w:r>
      <w:r>
        <w:rPr>
          <w:rFonts w:hint="eastAsia" w:ascii="仿宋_GB2312" w:hAnsi="宋体" w:eastAsia="仿宋_GB2312" w:cs="宋体"/>
          <w:sz w:val="32"/>
          <w:szCs w:val="32"/>
        </w:rPr>
        <w:t>将《暂行条例》中原加工承揽合同、建设工程勘察设计合同、货物运输合同的适用税率由万分之五降为万分之三。</w:t>
      </w:r>
      <w:r>
        <w:rPr>
          <w:rFonts w:hint="eastAsia" w:ascii="仿宋_GB2312" w:hAnsi="宋体" w:eastAsia="仿宋_GB2312" w:cs="宋体"/>
          <w:b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sz w:val="32"/>
          <w:szCs w:val="32"/>
        </w:rPr>
        <w:t>考虑到国务院已决定自2018年5月起对资金账簿和其他账簿分别减征和免征印花税，为了与现行政策保持一致，将营业账簿适用税率由</w:t>
      </w:r>
      <w:r>
        <w:rPr>
          <w:rFonts w:hint="eastAsia" w:ascii="仿宋_GB2312" w:eastAsia="仿宋_GB2312"/>
          <w:sz w:val="32"/>
          <w:szCs w:val="32"/>
        </w:rPr>
        <w:t>实收资本（股本）、资本公积合计金额的</w:t>
      </w:r>
      <w:r>
        <w:rPr>
          <w:rFonts w:hint="eastAsia" w:ascii="仿宋_GB2312" w:hAnsi="宋体" w:eastAsia="仿宋_GB2312" w:cs="宋体"/>
          <w:sz w:val="32"/>
          <w:szCs w:val="32"/>
        </w:rPr>
        <w:t>万分之五降为万分之二点五。</w:t>
      </w:r>
    </w:p>
    <w:p>
      <w:pPr>
        <w:spacing w:line="360" w:lineRule="auto"/>
        <w:ind w:firstLine="643" w:firstLineChars="200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（四）关于计税依据。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《征求意见稿》分别规定了应税合同、产权转移书据、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营业账簿和</w:t>
      </w:r>
      <w:r>
        <w:rPr>
          <w:rFonts w:hint="eastAsia" w:ascii="仿宋_GB2312" w:hAnsi="宋体" w:eastAsia="仿宋_GB2312" w:cs="宋体"/>
          <w:sz w:val="32"/>
          <w:szCs w:val="32"/>
        </w:rPr>
        <w:t>权利、许可证照以及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证券交易</w:t>
      </w:r>
      <w:r>
        <w:rPr>
          <w:rFonts w:hint="eastAsia" w:ascii="仿宋_GB2312" w:hAnsi="宋体" w:eastAsia="仿宋_GB2312" w:cs="宋体"/>
          <w:sz w:val="32"/>
          <w:szCs w:val="32"/>
        </w:rPr>
        <w:t>计税依据的确定方法（第五条），并针对应税合同、产权转移书据中未列明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价款或者报酬以及转让证券</w:t>
      </w:r>
      <w:r>
        <w:rPr>
          <w:rFonts w:hint="eastAsia" w:ascii="仿宋_GB2312" w:hAnsi="宋体" w:eastAsia="仿宋_GB2312" w:cs="宋体"/>
          <w:sz w:val="32"/>
          <w:szCs w:val="32"/>
        </w:rPr>
        <w:t>无转让价格等特殊情形，规定了其计税依据的确定方法（第六条、第七条）。</w:t>
      </w:r>
    </w:p>
    <w:p>
      <w:pPr>
        <w:spacing w:line="360" w:lineRule="auto"/>
        <w:ind w:firstLine="645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（五）关于税收减免。</w:t>
      </w:r>
    </w:p>
    <w:p>
      <w:pPr>
        <w:spacing w:line="360" w:lineRule="auto"/>
        <w:ind w:firstLine="645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《征求意见稿》规定了六种免税情形：</w:t>
      </w:r>
      <w:r>
        <w:rPr>
          <w:rFonts w:hint="eastAsia" w:ascii="仿宋_GB2312" w:hAnsi="宋体" w:eastAsia="仿宋_GB2312"/>
          <w:b/>
          <w:sz w:val="32"/>
          <w:szCs w:val="32"/>
        </w:rPr>
        <w:t>一是</w:t>
      </w:r>
      <w:r>
        <w:rPr>
          <w:rFonts w:hint="eastAsia" w:ascii="仿宋_GB2312" w:hAnsi="宋体" w:eastAsia="仿宋_GB2312"/>
          <w:sz w:val="32"/>
          <w:szCs w:val="32"/>
        </w:rPr>
        <w:t>为避免重复征税，对</w:t>
      </w:r>
      <w:r>
        <w:rPr>
          <w:rFonts w:hint="eastAsia" w:ascii="仿宋_GB2312" w:hAnsi="宋体" w:eastAsia="仿宋_GB2312" w:cs="宋体"/>
          <w:sz w:val="32"/>
          <w:szCs w:val="32"/>
        </w:rPr>
        <w:t>应税凭证的副本或者抄本免税；</w:t>
      </w:r>
      <w:r>
        <w:rPr>
          <w:rFonts w:hint="eastAsia" w:ascii="仿宋_GB2312" w:hAnsi="宋体" w:eastAsia="仿宋_GB2312" w:cs="宋体"/>
          <w:b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sz w:val="32"/>
          <w:szCs w:val="32"/>
        </w:rPr>
        <w:t>为支持农业发展，对农民、农民专业合作社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农村集体经济组织、村民委员会购买</w:t>
      </w:r>
      <w:r>
        <w:rPr>
          <w:rFonts w:hint="eastAsia" w:eastAsia="仿宋_GB2312"/>
          <w:kern w:val="0"/>
          <w:sz w:val="32"/>
          <w:szCs w:val="32"/>
        </w:rPr>
        <w:t>农业生产资料或者</w:t>
      </w:r>
      <w:r>
        <w:rPr>
          <w:rFonts w:hint="eastAsia" w:ascii="仿宋_GB2312" w:hAnsi="宋体" w:eastAsia="仿宋_GB2312" w:cs="宋体"/>
          <w:sz w:val="32"/>
          <w:szCs w:val="32"/>
        </w:rPr>
        <w:t>销售自产农产品订立的买卖合同和</w:t>
      </w:r>
      <w:r>
        <w:rPr>
          <w:rFonts w:hint="eastAsia" w:eastAsia="仿宋_GB2312"/>
          <w:kern w:val="0"/>
          <w:sz w:val="32"/>
          <w:szCs w:val="32"/>
        </w:rPr>
        <w:t>农业保险合同</w:t>
      </w:r>
      <w:r>
        <w:rPr>
          <w:rFonts w:hint="eastAsia" w:ascii="仿宋_GB2312" w:hAnsi="宋体" w:eastAsia="仿宋_GB2312" w:cs="宋体"/>
          <w:sz w:val="32"/>
          <w:szCs w:val="32"/>
        </w:rPr>
        <w:t>免税；</w:t>
      </w:r>
      <w:r>
        <w:rPr>
          <w:rFonts w:hint="eastAsia" w:ascii="仿宋_GB2312" w:hAnsi="宋体" w:eastAsia="仿宋_GB2312" w:cs="宋体"/>
          <w:b/>
          <w:sz w:val="32"/>
          <w:szCs w:val="32"/>
        </w:rPr>
        <w:t>三是</w:t>
      </w:r>
      <w:r>
        <w:rPr>
          <w:rFonts w:hint="eastAsia" w:ascii="仿宋_GB2312" w:hAnsi="宋体" w:eastAsia="仿宋_GB2312" w:cs="宋体"/>
          <w:sz w:val="32"/>
          <w:szCs w:val="32"/>
        </w:rPr>
        <w:t>为支持特定主体融资，对无息或者贴息借款合同、国际金融组织向我国提供优惠贷款订立的借款合同、金融机构与小型微型企业订立的借款合同免税；</w:t>
      </w:r>
      <w:r>
        <w:rPr>
          <w:rFonts w:hint="eastAsia" w:ascii="仿宋_GB2312" w:hAnsi="宋体" w:eastAsia="仿宋_GB2312" w:cs="宋体"/>
          <w:b/>
          <w:sz w:val="32"/>
          <w:szCs w:val="32"/>
        </w:rPr>
        <w:t>四是</w:t>
      </w:r>
      <w:r>
        <w:rPr>
          <w:rFonts w:hint="eastAsia" w:ascii="仿宋_GB2312" w:hAnsi="宋体" w:eastAsia="仿宋_GB2312" w:cs="宋体"/>
          <w:sz w:val="32"/>
          <w:szCs w:val="32"/>
        </w:rPr>
        <w:t>为支持公共事业发展，对财产所有权人将财产赠与政府、学校、社会福利机构订立的产权转移书据免税；</w:t>
      </w:r>
      <w:r>
        <w:rPr>
          <w:rFonts w:hint="eastAsia" w:ascii="仿宋_GB2312" w:hAnsi="宋体" w:eastAsia="仿宋_GB2312" w:cs="宋体"/>
          <w:b/>
          <w:sz w:val="32"/>
          <w:szCs w:val="32"/>
        </w:rPr>
        <w:t>五是</w:t>
      </w:r>
      <w:r>
        <w:rPr>
          <w:rFonts w:hint="eastAsia" w:ascii="仿宋_GB2312" w:hAnsi="宋体" w:eastAsia="仿宋_GB2312" w:cs="宋体"/>
          <w:sz w:val="32"/>
          <w:szCs w:val="32"/>
        </w:rPr>
        <w:t>为支持国防建设，对军队、武警部队订立、领受的应税凭证免税；</w:t>
      </w:r>
      <w:r>
        <w:rPr>
          <w:rFonts w:hint="eastAsia" w:ascii="仿宋_GB2312" w:hAnsi="宋体" w:eastAsia="仿宋_GB2312" w:cs="宋体"/>
          <w:b/>
          <w:sz w:val="32"/>
          <w:szCs w:val="32"/>
        </w:rPr>
        <w:t>六是</w:t>
      </w:r>
      <w:r>
        <w:rPr>
          <w:rFonts w:hint="eastAsia" w:ascii="仿宋_GB2312" w:hAnsi="宋体" w:eastAsia="仿宋_GB2312" w:cs="宋体"/>
          <w:sz w:val="32"/>
          <w:szCs w:val="32"/>
        </w:rPr>
        <w:t>为减轻个人住房负担，对转让、租赁住房订立的应税凭证，免征个人应当缴纳的印花税。为更好适应实际需要、便于相机调控，同时体现税收法定原则的要求，《征求意见稿》规定，国务院可以规定其他免征或者减征印花税的情形，但应当报全国人大常委会备案。（第十一条）</w:t>
      </w:r>
    </w:p>
    <w:p>
      <w:pPr>
        <w:spacing w:line="360" w:lineRule="auto"/>
        <w:ind w:firstLine="643" w:firstLineChars="200"/>
        <w:rPr>
          <w:rFonts w:ascii="楷体_GB2312" w:hAnsi="宋体" w:eastAsia="楷体_GB2312" w:cs="宋体"/>
          <w:b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（六）关于纳税方式。</w:t>
      </w:r>
    </w:p>
    <w:p>
      <w:pPr>
        <w:spacing w:line="360" w:lineRule="auto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《暂行条例》规定，印花税实行纳税人购买并在应税凭证上粘贴印花税票的缴纳办法，应纳税额较大或者贴花次数频繁的，纳税人可以采取按期申报纳税方式。</w:t>
      </w:r>
      <w:r>
        <w:rPr>
          <w:rFonts w:hint="eastAsia" w:ascii="仿宋_GB2312" w:hAnsi="宋体" w:eastAsia="仿宋_GB2312"/>
          <w:sz w:val="32"/>
          <w:szCs w:val="32"/>
        </w:rPr>
        <w:t>在实际执行中，由于</w:t>
      </w:r>
      <w:r>
        <w:rPr>
          <w:rFonts w:hint="eastAsia" w:ascii="仿宋_GB2312" w:hAnsi="楷体" w:eastAsia="仿宋_GB2312"/>
          <w:bCs/>
          <w:sz w:val="32"/>
          <w:szCs w:val="32"/>
        </w:rPr>
        <w:t>印花税票保管成本高，贴花纳税不方便，</w:t>
      </w:r>
      <w:r>
        <w:rPr>
          <w:rFonts w:hint="eastAsia" w:ascii="仿宋_GB2312" w:hAnsi="宋体" w:eastAsia="仿宋_GB2312"/>
          <w:sz w:val="32"/>
          <w:szCs w:val="32"/>
        </w:rPr>
        <w:t>纳税人大多选择汇总申报纳税，较少采用贴花纳税。同时</w:t>
      </w:r>
      <w:r>
        <w:rPr>
          <w:rFonts w:hint="eastAsia" w:ascii="仿宋_GB2312" w:hAnsi="楷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随着现代信息技术发展，出现了大量电子凭证，难以再采用贴花的纳税方式。为降低征管成本、提</w:t>
      </w:r>
      <w:r>
        <w:rPr>
          <w:rFonts w:hint="eastAsia" w:ascii="仿宋_GB2312" w:hAnsi="宋体" w:eastAsia="仿宋_GB2312" w:cs="宋体"/>
          <w:sz w:val="32"/>
          <w:szCs w:val="32"/>
        </w:rPr>
        <w:t>升</w:t>
      </w:r>
      <w:r>
        <w:rPr>
          <w:rFonts w:hint="eastAsia" w:ascii="仿宋_GB2312" w:hAnsi="宋体" w:eastAsia="仿宋_GB2312"/>
          <w:sz w:val="32"/>
          <w:szCs w:val="32"/>
        </w:rPr>
        <w:t>纳税便利度，并适应</w:t>
      </w:r>
      <w:r>
        <w:rPr>
          <w:rFonts w:hint="eastAsia" w:ascii="仿宋_GB2312" w:eastAsia="仿宋_GB2312"/>
          <w:sz w:val="32"/>
          <w:szCs w:val="32"/>
        </w:rPr>
        <w:t>电子凭证发展需要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《征求意见稿》规定，印花税统一实行申报纳税方式，不再采用贴花的纳税方式（第十五条、第十六条）。证券交易印花税仍按现行规定，采取由证券登记结算机构代扣代缴方式（第十三条、第十五条）。</w:t>
      </w:r>
    </w:p>
    <w:p>
      <w:pPr>
        <w:spacing w:line="360" w:lineRule="auto"/>
        <w:ind w:firstLine="643" w:firstLineChars="200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（七）关于证券交易印花税政策调整问题。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为灵活主动、便于相机调控，</w:t>
      </w:r>
      <w:r>
        <w:rPr>
          <w:rFonts w:hint="eastAsia" w:ascii="仿宋_GB2312" w:hAnsi="宋体" w:eastAsia="仿宋_GB2312"/>
          <w:bCs/>
          <w:sz w:val="32"/>
          <w:szCs w:val="32"/>
        </w:rPr>
        <w:t>更好适应实际需要，《征求意见稿》规定，</w:t>
      </w:r>
      <w:r>
        <w:rPr>
          <w:rFonts w:hint="eastAsia" w:ascii="仿宋_GB2312" w:hAnsi="宋体" w:eastAsia="仿宋_GB2312" w:cs="宋体"/>
          <w:sz w:val="32"/>
          <w:szCs w:val="32"/>
        </w:rPr>
        <w:t>证券交易印花税的纳税人和税率调整由国务院决定，并报全国人大常委会备案（第十八条）。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此外，</w:t>
      </w:r>
      <w:r>
        <w:rPr>
          <w:rFonts w:hint="eastAsia" w:ascii="仿宋_GB2312" w:hAnsi="宋体" w:eastAsia="仿宋_GB2312" w:cs="宋体"/>
          <w:sz w:val="32"/>
          <w:szCs w:val="32"/>
        </w:rPr>
        <w:t>《征求意见稿》还</w:t>
      </w:r>
      <w:r>
        <w:rPr>
          <w:rFonts w:hint="eastAsia" w:ascii="仿宋_GB2312" w:hAnsi="宋体" w:eastAsia="仿宋_GB2312"/>
          <w:bCs/>
          <w:sz w:val="32"/>
          <w:szCs w:val="32"/>
        </w:rPr>
        <w:t>对印花税应纳税额的计算方法，纳税义务发生时间、纳税期限和申报纳税地点，以及税款补缴和退还等事项作了规定。</w:t>
      </w:r>
    </w:p>
    <w:sectPr>
      <w:footerReference r:id="rId3" w:type="default"/>
      <w:pgSz w:w="11906" w:h="16838"/>
      <w:pgMar w:top="1928" w:right="1814" w:bottom="1928" w:left="1814" w:header="567" w:footer="107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872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ind w:left="7701" w:leftChars="3667" w:right="360" w:firstLine="5062" w:firstLineChars="1801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DED"/>
    <w:rsid w:val="00000FA4"/>
    <w:rsid w:val="000028CF"/>
    <w:rsid w:val="0001184F"/>
    <w:rsid w:val="000138E8"/>
    <w:rsid w:val="0001430E"/>
    <w:rsid w:val="00017BF7"/>
    <w:rsid w:val="000250D4"/>
    <w:rsid w:val="00030356"/>
    <w:rsid w:val="000319A8"/>
    <w:rsid w:val="00032290"/>
    <w:rsid w:val="0003427F"/>
    <w:rsid w:val="00034A7F"/>
    <w:rsid w:val="00035F03"/>
    <w:rsid w:val="00041A1F"/>
    <w:rsid w:val="000432AD"/>
    <w:rsid w:val="000462C4"/>
    <w:rsid w:val="00046BE0"/>
    <w:rsid w:val="00047C5E"/>
    <w:rsid w:val="00051489"/>
    <w:rsid w:val="00052275"/>
    <w:rsid w:val="00055A73"/>
    <w:rsid w:val="0005603C"/>
    <w:rsid w:val="0006104E"/>
    <w:rsid w:val="00062D33"/>
    <w:rsid w:val="00062DCF"/>
    <w:rsid w:val="000634BF"/>
    <w:rsid w:val="000645B2"/>
    <w:rsid w:val="00067E67"/>
    <w:rsid w:val="00074E85"/>
    <w:rsid w:val="00075AF6"/>
    <w:rsid w:val="000854BE"/>
    <w:rsid w:val="000874C6"/>
    <w:rsid w:val="0009027E"/>
    <w:rsid w:val="00091325"/>
    <w:rsid w:val="00095A8E"/>
    <w:rsid w:val="00097645"/>
    <w:rsid w:val="00097AFB"/>
    <w:rsid w:val="000A29E4"/>
    <w:rsid w:val="000A547E"/>
    <w:rsid w:val="000A5C51"/>
    <w:rsid w:val="000A60A5"/>
    <w:rsid w:val="000A6BAC"/>
    <w:rsid w:val="000B5ED4"/>
    <w:rsid w:val="000C31ED"/>
    <w:rsid w:val="000C3905"/>
    <w:rsid w:val="000D0713"/>
    <w:rsid w:val="000E1B96"/>
    <w:rsid w:val="000E4368"/>
    <w:rsid w:val="000E53AB"/>
    <w:rsid w:val="000F06D8"/>
    <w:rsid w:val="000F1698"/>
    <w:rsid w:val="000F2ADC"/>
    <w:rsid w:val="000F3334"/>
    <w:rsid w:val="000F7ED1"/>
    <w:rsid w:val="00100E41"/>
    <w:rsid w:val="00101812"/>
    <w:rsid w:val="001039BD"/>
    <w:rsid w:val="001067F9"/>
    <w:rsid w:val="001069FB"/>
    <w:rsid w:val="0010770F"/>
    <w:rsid w:val="00110467"/>
    <w:rsid w:val="00111493"/>
    <w:rsid w:val="00115F65"/>
    <w:rsid w:val="00116172"/>
    <w:rsid w:val="001179B6"/>
    <w:rsid w:val="00130C9A"/>
    <w:rsid w:val="00131B78"/>
    <w:rsid w:val="00131CD5"/>
    <w:rsid w:val="00134181"/>
    <w:rsid w:val="00135A56"/>
    <w:rsid w:val="00136CAE"/>
    <w:rsid w:val="0014369B"/>
    <w:rsid w:val="001443FE"/>
    <w:rsid w:val="00145AE1"/>
    <w:rsid w:val="0014640C"/>
    <w:rsid w:val="00147F54"/>
    <w:rsid w:val="00150DBD"/>
    <w:rsid w:val="00151080"/>
    <w:rsid w:val="001538E5"/>
    <w:rsid w:val="00155241"/>
    <w:rsid w:val="00157EEB"/>
    <w:rsid w:val="00160970"/>
    <w:rsid w:val="00164E9E"/>
    <w:rsid w:val="0016540C"/>
    <w:rsid w:val="00165B22"/>
    <w:rsid w:val="001677C2"/>
    <w:rsid w:val="0017040E"/>
    <w:rsid w:val="001726DD"/>
    <w:rsid w:val="00172C41"/>
    <w:rsid w:val="00174BAF"/>
    <w:rsid w:val="00175B12"/>
    <w:rsid w:val="00177B54"/>
    <w:rsid w:val="00177E35"/>
    <w:rsid w:val="001831D7"/>
    <w:rsid w:val="00185AB1"/>
    <w:rsid w:val="00190524"/>
    <w:rsid w:val="0019089F"/>
    <w:rsid w:val="0019418C"/>
    <w:rsid w:val="00196866"/>
    <w:rsid w:val="00197BE7"/>
    <w:rsid w:val="001B0A68"/>
    <w:rsid w:val="001B2E2D"/>
    <w:rsid w:val="001B5201"/>
    <w:rsid w:val="001B6555"/>
    <w:rsid w:val="001C0A8B"/>
    <w:rsid w:val="001C1B6E"/>
    <w:rsid w:val="001C1EB7"/>
    <w:rsid w:val="001D0215"/>
    <w:rsid w:val="001D172C"/>
    <w:rsid w:val="001D4CD3"/>
    <w:rsid w:val="001E097E"/>
    <w:rsid w:val="001E2E45"/>
    <w:rsid w:val="001E3ECA"/>
    <w:rsid w:val="001F50FE"/>
    <w:rsid w:val="002042B1"/>
    <w:rsid w:val="002057C6"/>
    <w:rsid w:val="00206739"/>
    <w:rsid w:val="002078AE"/>
    <w:rsid w:val="00207B44"/>
    <w:rsid w:val="00210691"/>
    <w:rsid w:val="00213201"/>
    <w:rsid w:val="002137B3"/>
    <w:rsid w:val="00214417"/>
    <w:rsid w:val="00214685"/>
    <w:rsid w:val="00220DA7"/>
    <w:rsid w:val="00222C16"/>
    <w:rsid w:val="00227D54"/>
    <w:rsid w:val="00230E0C"/>
    <w:rsid w:val="00231F95"/>
    <w:rsid w:val="0023236D"/>
    <w:rsid w:val="00236D66"/>
    <w:rsid w:val="00237DD3"/>
    <w:rsid w:val="00240CCF"/>
    <w:rsid w:val="00244FB2"/>
    <w:rsid w:val="00251BAD"/>
    <w:rsid w:val="00252F6E"/>
    <w:rsid w:val="00252FFD"/>
    <w:rsid w:val="00253E3E"/>
    <w:rsid w:val="0026223A"/>
    <w:rsid w:val="002630B9"/>
    <w:rsid w:val="00265A25"/>
    <w:rsid w:val="00265DF9"/>
    <w:rsid w:val="002670C3"/>
    <w:rsid w:val="00272616"/>
    <w:rsid w:val="0027521F"/>
    <w:rsid w:val="002755B1"/>
    <w:rsid w:val="002769A6"/>
    <w:rsid w:val="00280837"/>
    <w:rsid w:val="0028167E"/>
    <w:rsid w:val="002824F9"/>
    <w:rsid w:val="002836B7"/>
    <w:rsid w:val="00284ACC"/>
    <w:rsid w:val="00284B1A"/>
    <w:rsid w:val="00291AB9"/>
    <w:rsid w:val="0029223A"/>
    <w:rsid w:val="0029455D"/>
    <w:rsid w:val="00294C9D"/>
    <w:rsid w:val="002A019E"/>
    <w:rsid w:val="002A4365"/>
    <w:rsid w:val="002B1678"/>
    <w:rsid w:val="002B4765"/>
    <w:rsid w:val="002B7BC7"/>
    <w:rsid w:val="002C2BDD"/>
    <w:rsid w:val="002D1202"/>
    <w:rsid w:val="002D13E9"/>
    <w:rsid w:val="002D16EF"/>
    <w:rsid w:val="002D4D02"/>
    <w:rsid w:val="002D53A9"/>
    <w:rsid w:val="002D5C91"/>
    <w:rsid w:val="002E0013"/>
    <w:rsid w:val="002E0DFC"/>
    <w:rsid w:val="002E1FDC"/>
    <w:rsid w:val="002E2CFF"/>
    <w:rsid w:val="002E3FDE"/>
    <w:rsid w:val="002E5C10"/>
    <w:rsid w:val="002E6087"/>
    <w:rsid w:val="002E7355"/>
    <w:rsid w:val="002F1090"/>
    <w:rsid w:val="002F4A5A"/>
    <w:rsid w:val="002F7945"/>
    <w:rsid w:val="00305D43"/>
    <w:rsid w:val="00312A1C"/>
    <w:rsid w:val="00313AA2"/>
    <w:rsid w:val="00313BF6"/>
    <w:rsid w:val="00314B1C"/>
    <w:rsid w:val="00314E65"/>
    <w:rsid w:val="00317493"/>
    <w:rsid w:val="00320B6D"/>
    <w:rsid w:val="003376AD"/>
    <w:rsid w:val="00342A10"/>
    <w:rsid w:val="00345490"/>
    <w:rsid w:val="0035259D"/>
    <w:rsid w:val="003541B8"/>
    <w:rsid w:val="00365461"/>
    <w:rsid w:val="00366B17"/>
    <w:rsid w:val="00370B03"/>
    <w:rsid w:val="00373BF7"/>
    <w:rsid w:val="00373EEA"/>
    <w:rsid w:val="0037482D"/>
    <w:rsid w:val="00374F7E"/>
    <w:rsid w:val="00375096"/>
    <w:rsid w:val="003750BE"/>
    <w:rsid w:val="00382627"/>
    <w:rsid w:val="00382C04"/>
    <w:rsid w:val="00382DCE"/>
    <w:rsid w:val="00383618"/>
    <w:rsid w:val="0039661C"/>
    <w:rsid w:val="003A1B83"/>
    <w:rsid w:val="003A3030"/>
    <w:rsid w:val="003A3101"/>
    <w:rsid w:val="003A4950"/>
    <w:rsid w:val="003A5622"/>
    <w:rsid w:val="003B0EA6"/>
    <w:rsid w:val="003B3D4A"/>
    <w:rsid w:val="003B55C9"/>
    <w:rsid w:val="003B677E"/>
    <w:rsid w:val="003B7C99"/>
    <w:rsid w:val="003B7DC5"/>
    <w:rsid w:val="003C2E86"/>
    <w:rsid w:val="003C3B2F"/>
    <w:rsid w:val="003C686E"/>
    <w:rsid w:val="003C69A8"/>
    <w:rsid w:val="003D0EA7"/>
    <w:rsid w:val="003D2743"/>
    <w:rsid w:val="003D6F6B"/>
    <w:rsid w:val="003E1276"/>
    <w:rsid w:val="003E609A"/>
    <w:rsid w:val="003F4D78"/>
    <w:rsid w:val="003F74A1"/>
    <w:rsid w:val="00400B3D"/>
    <w:rsid w:val="00402AD5"/>
    <w:rsid w:val="0040719D"/>
    <w:rsid w:val="00407718"/>
    <w:rsid w:val="00410896"/>
    <w:rsid w:val="00411145"/>
    <w:rsid w:val="00412AE9"/>
    <w:rsid w:val="00412F0D"/>
    <w:rsid w:val="00412FF7"/>
    <w:rsid w:val="004149D1"/>
    <w:rsid w:val="00414E86"/>
    <w:rsid w:val="00416D3E"/>
    <w:rsid w:val="00420A62"/>
    <w:rsid w:val="00421C27"/>
    <w:rsid w:val="00422B37"/>
    <w:rsid w:val="00425A63"/>
    <w:rsid w:val="00426A43"/>
    <w:rsid w:val="00427811"/>
    <w:rsid w:val="00431690"/>
    <w:rsid w:val="00431B5B"/>
    <w:rsid w:val="00441A94"/>
    <w:rsid w:val="0044295C"/>
    <w:rsid w:val="00443F7C"/>
    <w:rsid w:val="0044415A"/>
    <w:rsid w:val="00450452"/>
    <w:rsid w:val="004522B1"/>
    <w:rsid w:val="0045419C"/>
    <w:rsid w:val="0045448A"/>
    <w:rsid w:val="00454FA0"/>
    <w:rsid w:val="0045676A"/>
    <w:rsid w:val="00456949"/>
    <w:rsid w:val="00460DDE"/>
    <w:rsid w:val="00463012"/>
    <w:rsid w:val="00463AEE"/>
    <w:rsid w:val="00464646"/>
    <w:rsid w:val="00465422"/>
    <w:rsid w:val="00467C21"/>
    <w:rsid w:val="00467D60"/>
    <w:rsid w:val="00470F75"/>
    <w:rsid w:val="00471055"/>
    <w:rsid w:val="0047210C"/>
    <w:rsid w:val="004733F6"/>
    <w:rsid w:val="00477AAD"/>
    <w:rsid w:val="00480D71"/>
    <w:rsid w:val="00481D67"/>
    <w:rsid w:val="00481FFA"/>
    <w:rsid w:val="00483064"/>
    <w:rsid w:val="00487732"/>
    <w:rsid w:val="00487ECC"/>
    <w:rsid w:val="00492258"/>
    <w:rsid w:val="00493722"/>
    <w:rsid w:val="00495B76"/>
    <w:rsid w:val="004A10F0"/>
    <w:rsid w:val="004A1496"/>
    <w:rsid w:val="004A1F2E"/>
    <w:rsid w:val="004A29B2"/>
    <w:rsid w:val="004A603F"/>
    <w:rsid w:val="004A7455"/>
    <w:rsid w:val="004A7D5A"/>
    <w:rsid w:val="004B1A5A"/>
    <w:rsid w:val="004B5CF1"/>
    <w:rsid w:val="004C112F"/>
    <w:rsid w:val="004C1ECC"/>
    <w:rsid w:val="004C2E37"/>
    <w:rsid w:val="004C5726"/>
    <w:rsid w:val="004C5866"/>
    <w:rsid w:val="004C6834"/>
    <w:rsid w:val="004C76C2"/>
    <w:rsid w:val="004D60DC"/>
    <w:rsid w:val="004D6353"/>
    <w:rsid w:val="004E6563"/>
    <w:rsid w:val="004E6DCE"/>
    <w:rsid w:val="004F36BD"/>
    <w:rsid w:val="004F3F8E"/>
    <w:rsid w:val="0050046A"/>
    <w:rsid w:val="00505089"/>
    <w:rsid w:val="005103BB"/>
    <w:rsid w:val="00511BB2"/>
    <w:rsid w:val="005122FF"/>
    <w:rsid w:val="00514215"/>
    <w:rsid w:val="0051542B"/>
    <w:rsid w:val="0051544F"/>
    <w:rsid w:val="00524963"/>
    <w:rsid w:val="00530328"/>
    <w:rsid w:val="0053091A"/>
    <w:rsid w:val="00531785"/>
    <w:rsid w:val="00531B6A"/>
    <w:rsid w:val="00533CBA"/>
    <w:rsid w:val="00534674"/>
    <w:rsid w:val="00535544"/>
    <w:rsid w:val="00537B84"/>
    <w:rsid w:val="0054710C"/>
    <w:rsid w:val="005501A7"/>
    <w:rsid w:val="00552D92"/>
    <w:rsid w:val="0055503A"/>
    <w:rsid w:val="005557FD"/>
    <w:rsid w:val="00557430"/>
    <w:rsid w:val="00560163"/>
    <w:rsid w:val="00560C70"/>
    <w:rsid w:val="0056140E"/>
    <w:rsid w:val="00562F4E"/>
    <w:rsid w:val="00567229"/>
    <w:rsid w:val="00573676"/>
    <w:rsid w:val="00576979"/>
    <w:rsid w:val="00580A4B"/>
    <w:rsid w:val="005816C2"/>
    <w:rsid w:val="00581B05"/>
    <w:rsid w:val="005864FB"/>
    <w:rsid w:val="00586A1D"/>
    <w:rsid w:val="00586BD6"/>
    <w:rsid w:val="0058795C"/>
    <w:rsid w:val="00590060"/>
    <w:rsid w:val="00591F8A"/>
    <w:rsid w:val="005967C9"/>
    <w:rsid w:val="005A04F0"/>
    <w:rsid w:val="005A5E19"/>
    <w:rsid w:val="005A671A"/>
    <w:rsid w:val="005B2FC7"/>
    <w:rsid w:val="005C0AD4"/>
    <w:rsid w:val="005C7173"/>
    <w:rsid w:val="005C74A5"/>
    <w:rsid w:val="005D13CB"/>
    <w:rsid w:val="005D7018"/>
    <w:rsid w:val="005D7927"/>
    <w:rsid w:val="005D7FC1"/>
    <w:rsid w:val="005E171B"/>
    <w:rsid w:val="005E1FFE"/>
    <w:rsid w:val="005E2844"/>
    <w:rsid w:val="005E322B"/>
    <w:rsid w:val="005E5EA1"/>
    <w:rsid w:val="005F060B"/>
    <w:rsid w:val="005F4B2F"/>
    <w:rsid w:val="00604DF9"/>
    <w:rsid w:val="006050F9"/>
    <w:rsid w:val="00605113"/>
    <w:rsid w:val="0060664F"/>
    <w:rsid w:val="0060742D"/>
    <w:rsid w:val="00614590"/>
    <w:rsid w:val="00617E4E"/>
    <w:rsid w:val="006214A3"/>
    <w:rsid w:val="00625E55"/>
    <w:rsid w:val="006275C8"/>
    <w:rsid w:val="00627D21"/>
    <w:rsid w:val="00633843"/>
    <w:rsid w:val="0063524D"/>
    <w:rsid w:val="006355F1"/>
    <w:rsid w:val="00637D76"/>
    <w:rsid w:val="00643A4C"/>
    <w:rsid w:val="00650089"/>
    <w:rsid w:val="00660413"/>
    <w:rsid w:val="00666456"/>
    <w:rsid w:val="00671FBF"/>
    <w:rsid w:val="00677517"/>
    <w:rsid w:val="0068083E"/>
    <w:rsid w:val="00681E29"/>
    <w:rsid w:val="00681EE0"/>
    <w:rsid w:val="0068510C"/>
    <w:rsid w:val="00685F6B"/>
    <w:rsid w:val="00686C96"/>
    <w:rsid w:val="00687903"/>
    <w:rsid w:val="00692A6D"/>
    <w:rsid w:val="00695DC3"/>
    <w:rsid w:val="00696EE6"/>
    <w:rsid w:val="00697AB7"/>
    <w:rsid w:val="006A5488"/>
    <w:rsid w:val="006A58A4"/>
    <w:rsid w:val="006B0CA7"/>
    <w:rsid w:val="006B7B7A"/>
    <w:rsid w:val="006C087E"/>
    <w:rsid w:val="006C662E"/>
    <w:rsid w:val="006C6EE8"/>
    <w:rsid w:val="006D12B8"/>
    <w:rsid w:val="006D18B1"/>
    <w:rsid w:val="006D28F8"/>
    <w:rsid w:val="006D29D2"/>
    <w:rsid w:val="006E2E44"/>
    <w:rsid w:val="006E34E9"/>
    <w:rsid w:val="006E45A7"/>
    <w:rsid w:val="006E5014"/>
    <w:rsid w:val="006F0CC1"/>
    <w:rsid w:val="006F3BC5"/>
    <w:rsid w:val="006F47B4"/>
    <w:rsid w:val="006F5985"/>
    <w:rsid w:val="006F62E6"/>
    <w:rsid w:val="006F7E02"/>
    <w:rsid w:val="006F7E98"/>
    <w:rsid w:val="007010B2"/>
    <w:rsid w:val="0070212B"/>
    <w:rsid w:val="00702D13"/>
    <w:rsid w:val="007061B1"/>
    <w:rsid w:val="00710CA0"/>
    <w:rsid w:val="00712B49"/>
    <w:rsid w:val="00717A1E"/>
    <w:rsid w:val="00725594"/>
    <w:rsid w:val="00725A51"/>
    <w:rsid w:val="0073111D"/>
    <w:rsid w:val="00734AED"/>
    <w:rsid w:val="00741740"/>
    <w:rsid w:val="0074342B"/>
    <w:rsid w:val="00750F88"/>
    <w:rsid w:val="00751840"/>
    <w:rsid w:val="00757147"/>
    <w:rsid w:val="00763519"/>
    <w:rsid w:val="0076522A"/>
    <w:rsid w:val="00765C7C"/>
    <w:rsid w:val="00765DFE"/>
    <w:rsid w:val="00770FDF"/>
    <w:rsid w:val="00773AD9"/>
    <w:rsid w:val="00773BCD"/>
    <w:rsid w:val="00773F5D"/>
    <w:rsid w:val="00776887"/>
    <w:rsid w:val="00777BAE"/>
    <w:rsid w:val="0078207F"/>
    <w:rsid w:val="00784040"/>
    <w:rsid w:val="007866E4"/>
    <w:rsid w:val="00793548"/>
    <w:rsid w:val="00794477"/>
    <w:rsid w:val="007A4AFF"/>
    <w:rsid w:val="007A52D6"/>
    <w:rsid w:val="007A5F2B"/>
    <w:rsid w:val="007A6355"/>
    <w:rsid w:val="007A70B9"/>
    <w:rsid w:val="007B19A5"/>
    <w:rsid w:val="007B2EF4"/>
    <w:rsid w:val="007B4731"/>
    <w:rsid w:val="007B49C7"/>
    <w:rsid w:val="007B62D6"/>
    <w:rsid w:val="007B6FD9"/>
    <w:rsid w:val="007B7746"/>
    <w:rsid w:val="007C6ED9"/>
    <w:rsid w:val="007D16B1"/>
    <w:rsid w:val="007D4D8E"/>
    <w:rsid w:val="007D5038"/>
    <w:rsid w:val="007D5D2F"/>
    <w:rsid w:val="007D6118"/>
    <w:rsid w:val="007D627A"/>
    <w:rsid w:val="007E1569"/>
    <w:rsid w:val="007E1737"/>
    <w:rsid w:val="007E2B87"/>
    <w:rsid w:val="007E33C9"/>
    <w:rsid w:val="007E595F"/>
    <w:rsid w:val="007F0B75"/>
    <w:rsid w:val="007F1F9A"/>
    <w:rsid w:val="007F2A7B"/>
    <w:rsid w:val="007F610E"/>
    <w:rsid w:val="007F650C"/>
    <w:rsid w:val="00802CC5"/>
    <w:rsid w:val="0081067F"/>
    <w:rsid w:val="008133CB"/>
    <w:rsid w:val="0081465F"/>
    <w:rsid w:val="00815C98"/>
    <w:rsid w:val="00816835"/>
    <w:rsid w:val="00821399"/>
    <w:rsid w:val="00823B5D"/>
    <w:rsid w:val="00824835"/>
    <w:rsid w:val="00826722"/>
    <w:rsid w:val="00832D4D"/>
    <w:rsid w:val="00842280"/>
    <w:rsid w:val="00846199"/>
    <w:rsid w:val="00864343"/>
    <w:rsid w:val="00865857"/>
    <w:rsid w:val="008716B4"/>
    <w:rsid w:val="00873285"/>
    <w:rsid w:val="00874910"/>
    <w:rsid w:val="00880632"/>
    <w:rsid w:val="00884F82"/>
    <w:rsid w:val="00885223"/>
    <w:rsid w:val="00887125"/>
    <w:rsid w:val="00893468"/>
    <w:rsid w:val="0089390F"/>
    <w:rsid w:val="008A171A"/>
    <w:rsid w:val="008B1D3E"/>
    <w:rsid w:val="008B2054"/>
    <w:rsid w:val="008B5CCC"/>
    <w:rsid w:val="008C21BC"/>
    <w:rsid w:val="008C2B26"/>
    <w:rsid w:val="008C5D9D"/>
    <w:rsid w:val="008C6C7E"/>
    <w:rsid w:val="008D1A16"/>
    <w:rsid w:val="008D1D18"/>
    <w:rsid w:val="008D7225"/>
    <w:rsid w:val="008E7A58"/>
    <w:rsid w:val="008F3B89"/>
    <w:rsid w:val="008F55FF"/>
    <w:rsid w:val="008F5C82"/>
    <w:rsid w:val="00902E3C"/>
    <w:rsid w:val="00906699"/>
    <w:rsid w:val="009119B7"/>
    <w:rsid w:val="00912B88"/>
    <w:rsid w:val="00912BBD"/>
    <w:rsid w:val="00912CB5"/>
    <w:rsid w:val="00917FBC"/>
    <w:rsid w:val="009204CD"/>
    <w:rsid w:val="009234BD"/>
    <w:rsid w:val="0092404E"/>
    <w:rsid w:val="00924E6C"/>
    <w:rsid w:val="00925FB5"/>
    <w:rsid w:val="009263ED"/>
    <w:rsid w:val="00927119"/>
    <w:rsid w:val="0092799D"/>
    <w:rsid w:val="00930018"/>
    <w:rsid w:val="00930766"/>
    <w:rsid w:val="009317C2"/>
    <w:rsid w:val="00932763"/>
    <w:rsid w:val="00933C63"/>
    <w:rsid w:val="009353FA"/>
    <w:rsid w:val="00941745"/>
    <w:rsid w:val="0094416C"/>
    <w:rsid w:val="0094426B"/>
    <w:rsid w:val="00945E2D"/>
    <w:rsid w:val="009475CA"/>
    <w:rsid w:val="00952A42"/>
    <w:rsid w:val="00952F85"/>
    <w:rsid w:val="009574CE"/>
    <w:rsid w:val="0096263E"/>
    <w:rsid w:val="0096282E"/>
    <w:rsid w:val="00964830"/>
    <w:rsid w:val="00965893"/>
    <w:rsid w:val="009706EC"/>
    <w:rsid w:val="00973420"/>
    <w:rsid w:val="0097720B"/>
    <w:rsid w:val="00982317"/>
    <w:rsid w:val="00983F30"/>
    <w:rsid w:val="00985F6A"/>
    <w:rsid w:val="00985FAC"/>
    <w:rsid w:val="009868FE"/>
    <w:rsid w:val="009929C8"/>
    <w:rsid w:val="00992C88"/>
    <w:rsid w:val="00993C34"/>
    <w:rsid w:val="00993C51"/>
    <w:rsid w:val="00994759"/>
    <w:rsid w:val="009A0F2C"/>
    <w:rsid w:val="009A2EA8"/>
    <w:rsid w:val="009A75EB"/>
    <w:rsid w:val="009B07EC"/>
    <w:rsid w:val="009B2C94"/>
    <w:rsid w:val="009B353D"/>
    <w:rsid w:val="009B3D08"/>
    <w:rsid w:val="009B4B97"/>
    <w:rsid w:val="009B6B41"/>
    <w:rsid w:val="009C3ED4"/>
    <w:rsid w:val="009C5FE5"/>
    <w:rsid w:val="009C60A3"/>
    <w:rsid w:val="009C7E76"/>
    <w:rsid w:val="009D0DA8"/>
    <w:rsid w:val="009D0F03"/>
    <w:rsid w:val="009D1599"/>
    <w:rsid w:val="009D165C"/>
    <w:rsid w:val="009D328C"/>
    <w:rsid w:val="009D5484"/>
    <w:rsid w:val="009D65AF"/>
    <w:rsid w:val="009D7266"/>
    <w:rsid w:val="009E0552"/>
    <w:rsid w:val="009E0D69"/>
    <w:rsid w:val="009E0F7A"/>
    <w:rsid w:val="009E26D5"/>
    <w:rsid w:val="009E3C14"/>
    <w:rsid w:val="009E4DB6"/>
    <w:rsid w:val="009E4E32"/>
    <w:rsid w:val="009F2E3A"/>
    <w:rsid w:val="009F2EFD"/>
    <w:rsid w:val="009F58BB"/>
    <w:rsid w:val="009F6CB3"/>
    <w:rsid w:val="00A039A1"/>
    <w:rsid w:val="00A04BC5"/>
    <w:rsid w:val="00A066AB"/>
    <w:rsid w:val="00A07532"/>
    <w:rsid w:val="00A07C76"/>
    <w:rsid w:val="00A07D77"/>
    <w:rsid w:val="00A10BB9"/>
    <w:rsid w:val="00A11040"/>
    <w:rsid w:val="00A15937"/>
    <w:rsid w:val="00A16464"/>
    <w:rsid w:val="00A17611"/>
    <w:rsid w:val="00A204D8"/>
    <w:rsid w:val="00A20695"/>
    <w:rsid w:val="00A22FDD"/>
    <w:rsid w:val="00A251DF"/>
    <w:rsid w:val="00A258B7"/>
    <w:rsid w:val="00A27A97"/>
    <w:rsid w:val="00A303FD"/>
    <w:rsid w:val="00A33343"/>
    <w:rsid w:val="00A35BF4"/>
    <w:rsid w:val="00A37541"/>
    <w:rsid w:val="00A3762D"/>
    <w:rsid w:val="00A510BE"/>
    <w:rsid w:val="00A54190"/>
    <w:rsid w:val="00A56012"/>
    <w:rsid w:val="00A57668"/>
    <w:rsid w:val="00A72344"/>
    <w:rsid w:val="00A73D94"/>
    <w:rsid w:val="00A74882"/>
    <w:rsid w:val="00A76EA2"/>
    <w:rsid w:val="00A8307E"/>
    <w:rsid w:val="00A86663"/>
    <w:rsid w:val="00A926FD"/>
    <w:rsid w:val="00A9747F"/>
    <w:rsid w:val="00AA0B7C"/>
    <w:rsid w:val="00AA6BA3"/>
    <w:rsid w:val="00AA7F75"/>
    <w:rsid w:val="00AB086A"/>
    <w:rsid w:val="00AB3D52"/>
    <w:rsid w:val="00AC2998"/>
    <w:rsid w:val="00AC2D40"/>
    <w:rsid w:val="00AC3494"/>
    <w:rsid w:val="00AC5C17"/>
    <w:rsid w:val="00AD1DF4"/>
    <w:rsid w:val="00AD2253"/>
    <w:rsid w:val="00AD3834"/>
    <w:rsid w:val="00AE1075"/>
    <w:rsid w:val="00AE295B"/>
    <w:rsid w:val="00AE3B01"/>
    <w:rsid w:val="00AE4E35"/>
    <w:rsid w:val="00AE5923"/>
    <w:rsid w:val="00AF25FA"/>
    <w:rsid w:val="00AF40B9"/>
    <w:rsid w:val="00AF5026"/>
    <w:rsid w:val="00AF5F0E"/>
    <w:rsid w:val="00B01E41"/>
    <w:rsid w:val="00B031B0"/>
    <w:rsid w:val="00B1280E"/>
    <w:rsid w:val="00B1416A"/>
    <w:rsid w:val="00B151EA"/>
    <w:rsid w:val="00B167BB"/>
    <w:rsid w:val="00B16FEF"/>
    <w:rsid w:val="00B20279"/>
    <w:rsid w:val="00B24D4B"/>
    <w:rsid w:val="00B26EE4"/>
    <w:rsid w:val="00B275E4"/>
    <w:rsid w:val="00B350A8"/>
    <w:rsid w:val="00B3585B"/>
    <w:rsid w:val="00B40EE0"/>
    <w:rsid w:val="00B40F2A"/>
    <w:rsid w:val="00B452BB"/>
    <w:rsid w:val="00B52255"/>
    <w:rsid w:val="00B539BA"/>
    <w:rsid w:val="00B565E9"/>
    <w:rsid w:val="00B57BEF"/>
    <w:rsid w:val="00B61D4C"/>
    <w:rsid w:val="00B67B85"/>
    <w:rsid w:val="00B70C64"/>
    <w:rsid w:val="00B72009"/>
    <w:rsid w:val="00B727EE"/>
    <w:rsid w:val="00B832C5"/>
    <w:rsid w:val="00B85F8D"/>
    <w:rsid w:val="00B87088"/>
    <w:rsid w:val="00B87571"/>
    <w:rsid w:val="00B94652"/>
    <w:rsid w:val="00B94A38"/>
    <w:rsid w:val="00B95067"/>
    <w:rsid w:val="00BA1356"/>
    <w:rsid w:val="00BA38FC"/>
    <w:rsid w:val="00BA476B"/>
    <w:rsid w:val="00BA4870"/>
    <w:rsid w:val="00BB13A8"/>
    <w:rsid w:val="00BB28FC"/>
    <w:rsid w:val="00BC3346"/>
    <w:rsid w:val="00BC6632"/>
    <w:rsid w:val="00BC70FB"/>
    <w:rsid w:val="00BD1FF7"/>
    <w:rsid w:val="00BD279D"/>
    <w:rsid w:val="00BD39F2"/>
    <w:rsid w:val="00BD7047"/>
    <w:rsid w:val="00BE3434"/>
    <w:rsid w:val="00BE47DD"/>
    <w:rsid w:val="00BE5E50"/>
    <w:rsid w:val="00BF1C7F"/>
    <w:rsid w:val="00BF274E"/>
    <w:rsid w:val="00BF5414"/>
    <w:rsid w:val="00BF6263"/>
    <w:rsid w:val="00BF7F1E"/>
    <w:rsid w:val="00C00FC9"/>
    <w:rsid w:val="00C021B8"/>
    <w:rsid w:val="00C04B0B"/>
    <w:rsid w:val="00C07E94"/>
    <w:rsid w:val="00C14005"/>
    <w:rsid w:val="00C143E8"/>
    <w:rsid w:val="00C16359"/>
    <w:rsid w:val="00C170B1"/>
    <w:rsid w:val="00C1748F"/>
    <w:rsid w:val="00C209C1"/>
    <w:rsid w:val="00C20D29"/>
    <w:rsid w:val="00C22B77"/>
    <w:rsid w:val="00C31C58"/>
    <w:rsid w:val="00C31C5D"/>
    <w:rsid w:val="00C35A44"/>
    <w:rsid w:val="00C37339"/>
    <w:rsid w:val="00C37849"/>
    <w:rsid w:val="00C40710"/>
    <w:rsid w:val="00C4278E"/>
    <w:rsid w:val="00C433D9"/>
    <w:rsid w:val="00C43B42"/>
    <w:rsid w:val="00C46C8B"/>
    <w:rsid w:val="00C50C20"/>
    <w:rsid w:val="00C529C7"/>
    <w:rsid w:val="00C56390"/>
    <w:rsid w:val="00C66955"/>
    <w:rsid w:val="00C66C9F"/>
    <w:rsid w:val="00C67F33"/>
    <w:rsid w:val="00C67F40"/>
    <w:rsid w:val="00C70DDE"/>
    <w:rsid w:val="00C8004B"/>
    <w:rsid w:val="00C82A74"/>
    <w:rsid w:val="00C836B6"/>
    <w:rsid w:val="00C8414F"/>
    <w:rsid w:val="00C85D40"/>
    <w:rsid w:val="00C86B5D"/>
    <w:rsid w:val="00C87B28"/>
    <w:rsid w:val="00C87B2B"/>
    <w:rsid w:val="00C904DA"/>
    <w:rsid w:val="00C90764"/>
    <w:rsid w:val="00C908FD"/>
    <w:rsid w:val="00C91944"/>
    <w:rsid w:val="00C973A3"/>
    <w:rsid w:val="00C97575"/>
    <w:rsid w:val="00CA14F1"/>
    <w:rsid w:val="00CA2837"/>
    <w:rsid w:val="00CA2D60"/>
    <w:rsid w:val="00CA381D"/>
    <w:rsid w:val="00CA40CE"/>
    <w:rsid w:val="00CA5E61"/>
    <w:rsid w:val="00CB0167"/>
    <w:rsid w:val="00CB08D7"/>
    <w:rsid w:val="00CB1994"/>
    <w:rsid w:val="00CB33CD"/>
    <w:rsid w:val="00CB5760"/>
    <w:rsid w:val="00CB6DED"/>
    <w:rsid w:val="00CB7A7A"/>
    <w:rsid w:val="00CC2CD5"/>
    <w:rsid w:val="00CC303B"/>
    <w:rsid w:val="00CC6001"/>
    <w:rsid w:val="00CD26AD"/>
    <w:rsid w:val="00CD4877"/>
    <w:rsid w:val="00CE307D"/>
    <w:rsid w:val="00CE61B3"/>
    <w:rsid w:val="00CE740F"/>
    <w:rsid w:val="00CF1DDC"/>
    <w:rsid w:val="00CF5BDB"/>
    <w:rsid w:val="00D009BB"/>
    <w:rsid w:val="00D00A3D"/>
    <w:rsid w:val="00D01267"/>
    <w:rsid w:val="00D01C58"/>
    <w:rsid w:val="00D023FC"/>
    <w:rsid w:val="00D032EA"/>
    <w:rsid w:val="00D05683"/>
    <w:rsid w:val="00D077F5"/>
    <w:rsid w:val="00D11720"/>
    <w:rsid w:val="00D23B1F"/>
    <w:rsid w:val="00D23C26"/>
    <w:rsid w:val="00D27CF8"/>
    <w:rsid w:val="00D30FB9"/>
    <w:rsid w:val="00D3293A"/>
    <w:rsid w:val="00D3306E"/>
    <w:rsid w:val="00D3407E"/>
    <w:rsid w:val="00D511A4"/>
    <w:rsid w:val="00D62E38"/>
    <w:rsid w:val="00D6357F"/>
    <w:rsid w:val="00D63C70"/>
    <w:rsid w:val="00D661D8"/>
    <w:rsid w:val="00D73176"/>
    <w:rsid w:val="00D74FFB"/>
    <w:rsid w:val="00D7631C"/>
    <w:rsid w:val="00D773EF"/>
    <w:rsid w:val="00D80861"/>
    <w:rsid w:val="00D8096B"/>
    <w:rsid w:val="00D815FC"/>
    <w:rsid w:val="00D85F56"/>
    <w:rsid w:val="00D86DB7"/>
    <w:rsid w:val="00D87575"/>
    <w:rsid w:val="00D91F9C"/>
    <w:rsid w:val="00D95942"/>
    <w:rsid w:val="00DA0D87"/>
    <w:rsid w:val="00DA0F48"/>
    <w:rsid w:val="00DA124F"/>
    <w:rsid w:val="00DA1D55"/>
    <w:rsid w:val="00DA6DD4"/>
    <w:rsid w:val="00DC477E"/>
    <w:rsid w:val="00DD0E10"/>
    <w:rsid w:val="00DD132A"/>
    <w:rsid w:val="00DD2081"/>
    <w:rsid w:val="00DD4CF7"/>
    <w:rsid w:val="00DE6472"/>
    <w:rsid w:val="00DE6F04"/>
    <w:rsid w:val="00DE7A41"/>
    <w:rsid w:val="00DF3277"/>
    <w:rsid w:val="00DF7773"/>
    <w:rsid w:val="00E01745"/>
    <w:rsid w:val="00E049F3"/>
    <w:rsid w:val="00E06368"/>
    <w:rsid w:val="00E1164C"/>
    <w:rsid w:val="00E11806"/>
    <w:rsid w:val="00E13FF3"/>
    <w:rsid w:val="00E142D9"/>
    <w:rsid w:val="00E1536A"/>
    <w:rsid w:val="00E23497"/>
    <w:rsid w:val="00E235E2"/>
    <w:rsid w:val="00E3619D"/>
    <w:rsid w:val="00E37966"/>
    <w:rsid w:val="00E443C0"/>
    <w:rsid w:val="00E47044"/>
    <w:rsid w:val="00E5260F"/>
    <w:rsid w:val="00E52FBB"/>
    <w:rsid w:val="00E53E54"/>
    <w:rsid w:val="00E62533"/>
    <w:rsid w:val="00E652B8"/>
    <w:rsid w:val="00E66808"/>
    <w:rsid w:val="00E66F69"/>
    <w:rsid w:val="00E67FBE"/>
    <w:rsid w:val="00E7390F"/>
    <w:rsid w:val="00E75FA6"/>
    <w:rsid w:val="00E76128"/>
    <w:rsid w:val="00E80F9A"/>
    <w:rsid w:val="00E81175"/>
    <w:rsid w:val="00E813F2"/>
    <w:rsid w:val="00E81EC9"/>
    <w:rsid w:val="00E821AA"/>
    <w:rsid w:val="00E87201"/>
    <w:rsid w:val="00E90BB8"/>
    <w:rsid w:val="00E9436F"/>
    <w:rsid w:val="00EA112D"/>
    <w:rsid w:val="00EA226D"/>
    <w:rsid w:val="00EA5BDA"/>
    <w:rsid w:val="00EA5DD3"/>
    <w:rsid w:val="00EA7CD9"/>
    <w:rsid w:val="00EB19C4"/>
    <w:rsid w:val="00EC26A6"/>
    <w:rsid w:val="00EC74D6"/>
    <w:rsid w:val="00ED5235"/>
    <w:rsid w:val="00ED62EB"/>
    <w:rsid w:val="00ED68E9"/>
    <w:rsid w:val="00EE0604"/>
    <w:rsid w:val="00EE1C9A"/>
    <w:rsid w:val="00EE25E5"/>
    <w:rsid w:val="00EE2896"/>
    <w:rsid w:val="00EE2934"/>
    <w:rsid w:val="00EE3035"/>
    <w:rsid w:val="00EE4982"/>
    <w:rsid w:val="00EE5B66"/>
    <w:rsid w:val="00EF0CD5"/>
    <w:rsid w:val="00EF5704"/>
    <w:rsid w:val="00EF74BA"/>
    <w:rsid w:val="00F05231"/>
    <w:rsid w:val="00F06418"/>
    <w:rsid w:val="00F12976"/>
    <w:rsid w:val="00F14750"/>
    <w:rsid w:val="00F1497E"/>
    <w:rsid w:val="00F22BAC"/>
    <w:rsid w:val="00F22ED9"/>
    <w:rsid w:val="00F232A8"/>
    <w:rsid w:val="00F25189"/>
    <w:rsid w:val="00F27418"/>
    <w:rsid w:val="00F308BC"/>
    <w:rsid w:val="00F325F5"/>
    <w:rsid w:val="00F33717"/>
    <w:rsid w:val="00F33A57"/>
    <w:rsid w:val="00F34165"/>
    <w:rsid w:val="00F3418C"/>
    <w:rsid w:val="00F344CE"/>
    <w:rsid w:val="00F3508C"/>
    <w:rsid w:val="00F3709A"/>
    <w:rsid w:val="00F43E4B"/>
    <w:rsid w:val="00F47F5E"/>
    <w:rsid w:val="00F50422"/>
    <w:rsid w:val="00F52FC6"/>
    <w:rsid w:val="00F57DE6"/>
    <w:rsid w:val="00F57FB9"/>
    <w:rsid w:val="00F616FF"/>
    <w:rsid w:val="00F61BAA"/>
    <w:rsid w:val="00F62295"/>
    <w:rsid w:val="00F65DB5"/>
    <w:rsid w:val="00F70E67"/>
    <w:rsid w:val="00F712C9"/>
    <w:rsid w:val="00F741EE"/>
    <w:rsid w:val="00F763EC"/>
    <w:rsid w:val="00F76640"/>
    <w:rsid w:val="00F800FA"/>
    <w:rsid w:val="00F818B1"/>
    <w:rsid w:val="00F82EA4"/>
    <w:rsid w:val="00F86ECD"/>
    <w:rsid w:val="00F8798E"/>
    <w:rsid w:val="00F87B9F"/>
    <w:rsid w:val="00F87D3F"/>
    <w:rsid w:val="00F92A6F"/>
    <w:rsid w:val="00F931C2"/>
    <w:rsid w:val="00F95216"/>
    <w:rsid w:val="00F95B2A"/>
    <w:rsid w:val="00F95C6B"/>
    <w:rsid w:val="00FA0B46"/>
    <w:rsid w:val="00FA0FC7"/>
    <w:rsid w:val="00FA28AD"/>
    <w:rsid w:val="00FA38AD"/>
    <w:rsid w:val="00FB7053"/>
    <w:rsid w:val="00FC4761"/>
    <w:rsid w:val="00FC4D24"/>
    <w:rsid w:val="00FC51D4"/>
    <w:rsid w:val="00FC55BE"/>
    <w:rsid w:val="00FC69A2"/>
    <w:rsid w:val="00FD10FA"/>
    <w:rsid w:val="00FD2EE2"/>
    <w:rsid w:val="00FD33BF"/>
    <w:rsid w:val="00FD4A5F"/>
    <w:rsid w:val="00FD7B13"/>
    <w:rsid w:val="00FE3A91"/>
    <w:rsid w:val="00FE652C"/>
    <w:rsid w:val="00FE68F1"/>
    <w:rsid w:val="00FF584F"/>
    <w:rsid w:val="00FF6E47"/>
    <w:rsid w:val="00FF7B89"/>
    <w:rsid w:val="0E6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1B5C8-8E06-4D60-8F9F-77E8FA095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2120</Characters>
  <Lines>17</Lines>
  <Paragraphs>4</Paragraphs>
  <TotalTime>1122</TotalTime>
  <ScaleCrop>false</ScaleCrop>
  <LinksUpToDate>false</LinksUpToDate>
  <CharactersWithSpaces>2487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2018-09-27T09:18:00Z</dcterms:created>
  <dc:creator>王海英</dc:creator>
  <cp:lastModifiedBy>1347</cp:lastModifiedBy>
  <cp:lastPrinted>2018-04-28T00:43:00Z</cp:lastPrinted>
  <dcterms:modified xsi:type="dcterms:W3CDTF">2018-11-01T02:00:17Z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